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A" w:rsidRPr="002A5C90" w:rsidRDefault="00304263" w:rsidP="00304263">
      <w:pPr>
        <w:spacing w:after="240"/>
        <w:rPr>
          <w:rFonts w:ascii="Arial" w:hAnsi="Arial" w:cs="Arial"/>
          <w:b/>
          <w:sz w:val="22"/>
          <w:szCs w:val="22"/>
        </w:rPr>
      </w:pPr>
      <w:r w:rsidRPr="002A5C90">
        <w:rPr>
          <w:rFonts w:ascii="Arial" w:hAnsi="Arial" w:cs="Arial"/>
          <w:b/>
          <w:sz w:val="22"/>
          <w:szCs w:val="22"/>
        </w:rPr>
        <w:t>Wichtige / geänderte Regeln nach den TBR 2017 und der TO 2017</w:t>
      </w:r>
    </w:p>
    <w:p w:rsidR="001064C3" w:rsidRPr="002A5C90" w:rsidRDefault="001064C3" w:rsidP="001064C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>Beide Augsburger Clubs haben gemäß §14 (3) Satz 3 TO eine Ausnahme zu §14 (3) Satz 1 TO beschlossen: Bei allen Paar- oder Teamturnieren hat jedes Paar unaufgefordert vor Beginn der Reizung dem Gegner (nur) eine vollständig ausgefüllte Konventionskarte vorzulegen.</w:t>
      </w:r>
    </w:p>
    <w:p w:rsidR="003D4D80" w:rsidRPr="002A5C90" w:rsidRDefault="003D4D80" w:rsidP="003D4D80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>Beide Augsburger Clubs haben davon abgesehen, dass eine Systemkurzbeschreibung (</w:t>
      </w:r>
      <w:proofErr w:type="spellStart"/>
      <w:r w:rsidRPr="002A5C90">
        <w:rPr>
          <w:rFonts w:ascii="Arial" w:hAnsi="Arial" w:cs="Arial"/>
          <w:sz w:val="22"/>
          <w:szCs w:val="22"/>
        </w:rPr>
        <w:t>prealert</w:t>
      </w:r>
      <w:proofErr w:type="spellEnd"/>
      <w:r w:rsidRPr="002A5C90">
        <w:rPr>
          <w:rFonts w:ascii="Arial" w:hAnsi="Arial" w:cs="Arial"/>
          <w:sz w:val="22"/>
          <w:szCs w:val="22"/>
        </w:rPr>
        <w:t>) Anwendung findet. §15 (1) TO, letzter Satz.</w:t>
      </w:r>
    </w:p>
    <w:p w:rsidR="00BE4DC1" w:rsidRPr="002A5C90" w:rsidRDefault="0099001A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Beide Augsburger Clubs haben entschieden (§15 (9) TO): </w:t>
      </w:r>
      <w:r w:rsidR="00304263" w:rsidRPr="002A5C90">
        <w:rPr>
          <w:rFonts w:ascii="Arial" w:hAnsi="Arial" w:cs="Arial"/>
          <w:sz w:val="22"/>
          <w:szCs w:val="22"/>
        </w:rPr>
        <w:t>Die Bestimmungen über Sofortauskünfte bleiben unverändert</w:t>
      </w:r>
      <w:r w:rsidR="004A746A" w:rsidRPr="002A5C90">
        <w:rPr>
          <w:rFonts w:ascii="Arial" w:hAnsi="Arial" w:cs="Arial"/>
          <w:sz w:val="22"/>
          <w:szCs w:val="22"/>
        </w:rPr>
        <w:t>.</w:t>
      </w:r>
      <w:r w:rsidR="00156FCF" w:rsidRPr="002A5C90">
        <w:rPr>
          <w:rFonts w:ascii="Arial" w:hAnsi="Arial" w:cs="Arial"/>
          <w:sz w:val="22"/>
          <w:szCs w:val="22"/>
        </w:rPr>
        <w:t xml:space="preserve"> </w:t>
      </w:r>
      <w:r w:rsidR="004A746A" w:rsidRPr="002A5C90">
        <w:rPr>
          <w:rFonts w:ascii="Arial" w:hAnsi="Arial" w:cs="Arial"/>
          <w:sz w:val="22"/>
          <w:szCs w:val="22"/>
        </w:rPr>
        <w:t>§15 TO + Anhang F</w:t>
      </w:r>
      <w:r w:rsidR="002A5C90">
        <w:rPr>
          <w:rFonts w:ascii="Arial" w:hAnsi="Arial" w:cs="Arial"/>
          <w:sz w:val="22"/>
          <w:szCs w:val="22"/>
        </w:rPr>
        <w:br/>
        <w:t xml:space="preserve">Details: </w:t>
      </w:r>
      <w:r w:rsidR="002A5C90">
        <w:rPr>
          <w:rFonts w:ascii="Arial" w:hAnsi="Arial" w:cs="Arial"/>
          <w:sz w:val="22"/>
          <w:szCs w:val="22"/>
        </w:rPr>
        <w:br/>
      </w:r>
      <w:r w:rsidR="00304263" w:rsidRPr="002A5C90">
        <w:rPr>
          <w:rFonts w:ascii="Arial" w:hAnsi="Arial" w:cs="Arial"/>
          <w:sz w:val="22"/>
          <w:szCs w:val="22"/>
        </w:rPr>
        <w:t xml:space="preserve">Transferreizungen </w:t>
      </w:r>
      <w:r w:rsidR="003472A8" w:rsidRPr="002A5C90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Stayman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 xml:space="preserve"> </w:t>
      </w:r>
      <w:r w:rsidR="00BE4DC1" w:rsidRPr="002A5C90">
        <w:rPr>
          <w:rFonts w:ascii="Arial" w:hAnsi="Arial" w:cs="Arial"/>
          <w:sz w:val="22"/>
          <w:szCs w:val="22"/>
        </w:rPr>
        <w:t xml:space="preserve">(auch </w:t>
      </w:r>
      <w:proofErr w:type="spellStart"/>
      <w:r w:rsidR="00BE4DC1" w:rsidRPr="002A5C90">
        <w:rPr>
          <w:rFonts w:ascii="Arial" w:hAnsi="Arial" w:cs="Arial"/>
          <w:sz w:val="22"/>
          <w:szCs w:val="22"/>
        </w:rPr>
        <w:t>Nonforcing</w:t>
      </w:r>
      <w:proofErr w:type="spellEnd"/>
      <w:r w:rsidR="00BE4DC1" w:rsidRPr="002A5C90">
        <w:rPr>
          <w:rFonts w:ascii="Arial" w:hAnsi="Arial" w:cs="Arial"/>
          <w:sz w:val="22"/>
          <w:szCs w:val="22"/>
        </w:rPr>
        <w:t xml:space="preserve">) </w:t>
      </w:r>
      <w:r w:rsidR="00304263" w:rsidRPr="002A5C90">
        <w:rPr>
          <w:rFonts w:ascii="Arial" w:hAnsi="Arial" w:cs="Arial"/>
          <w:sz w:val="22"/>
          <w:szCs w:val="22"/>
        </w:rPr>
        <w:t xml:space="preserve">nach Eröffnung 1 SA müssen </w:t>
      </w:r>
      <w:proofErr w:type="spellStart"/>
      <w:r w:rsidR="00304263" w:rsidRPr="002A5C90">
        <w:rPr>
          <w:rFonts w:ascii="Arial" w:hAnsi="Arial" w:cs="Arial"/>
          <w:sz w:val="22"/>
          <w:szCs w:val="22"/>
        </w:rPr>
        <w:t>beauskunftet</w:t>
      </w:r>
      <w:proofErr w:type="spellEnd"/>
      <w:r w:rsidR="00304263" w:rsidRPr="002A5C90">
        <w:rPr>
          <w:rFonts w:ascii="Arial" w:hAnsi="Arial" w:cs="Arial"/>
          <w:sz w:val="22"/>
          <w:szCs w:val="22"/>
        </w:rPr>
        <w:t xml:space="preserve"> werden. Ausgeführte Transferreizungen nach Eröffnung 1 SA werden nicht </w:t>
      </w:r>
      <w:proofErr w:type="spellStart"/>
      <w:r w:rsidR="00304263" w:rsidRPr="002A5C90">
        <w:rPr>
          <w:rFonts w:ascii="Arial" w:hAnsi="Arial" w:cs="Arial"/>
          <w:sz w:val="22"/>
          <w:szCs w:val="22"/>
        </w:rPr>
        <w:t>alertiert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beauskunftet</w:t>
      </w:r>
      <w:proofErr w:type="spellEnd"/>
      <w:r w:rsidR="00413950" w:rsidRPr="002A5C90">
        <w:rPr>
          <w:rFonts w:ascii="Arial" w:hAnsi="Arial" w:cs="Arial"/>
          <w:sz w:val="22"/>
          <w:szCs w:val="22"/>
        </w:rPr>
        <w:t>.</w:t>
      </w:r>
    </w:p>
    <w:p w:rsidR="00413950" w:rsidRPr="002A5C90" w:rsidRDefault="00413950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>Alert</w:t>
      </w:r>
    </w:p>
    <w:p w:rsidR="00304263" w:rsidRPr="002A5C90" w:rsidRDefault="007624D4" w:rsidP="00BE4DC1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4DC1" w:rsidRPr="002A5C90">
        <w:rPr>
          <w:rFonts w:ascii="Arial" w:hAnsi="Arial" w:cs="Arial"/>
          <w:sz w:val="22"/>
          <w:szCs w:val="22"/>
        </w:rPr>
        <w:t>.</w:t>
      </w:r>
      <w:r w:rsidR="00BE4DC1" w:rsidRPr="002A5C90">
        <w:rPr>
          <w:rFonts w:ascii="Arial" w:hAnsi="Arial" w:cs="Arial"/>
          <w:sz w:val="22"/>
          <w:szCs w:val="22"/>
        </w:rPr>
        <w:tab/>
      </w:r>
      <w:r w:rsidR="00A41A36" w:rsidRPr="002A5C90">
        <w:rPr>
          <w:rFonts w:ascii="Arial" w:hAnsi="Arial" w:cs="Arial"/>
          <w:sz w:val="22"/>
          <w:szCs w:val="22"/>
        </w:rPr>
        <w:t xml:space="preserve">Die Antwort 2K nach </w:t>
      </w:r>
      <w:proofErr w:type="spellStart"/>
      <w:r w:rsidR="00A41A36" w:rsidRPr="002A5C90">
        <w:rPr>
          <w:rFonts w:ascii="Arial" w:hAnsi="Arial" w:cs="Arial"/>
          <w:sz w:val="22"/>
          <w:szCs w:val="22"/>
        </w:rPr>
        <w:t>Stayman</w:t>
      </w:r>
      <w:proofErr w:type="spellEnd"/>
      <w:r w:rsidR="00A41A36" w:rsidRPr="002A5C90">
        <w:rPr>
          <w:rFonts w:ascii="Arial" w:hAnsi="Arial" w:cs="Arial"/>
          <w:sz w:val="22"/>
          <w:szCs w:val="22"/>
        </w:rPr>
        <w:t xml:space="preserve"> muss </w:t>
      </w:r>
      <w:r w:rsidR="002A5C90" w:rsidRPr="002A5C90">
        <w:rPr>
          <w:rFonts w:ascii="Arial" w:hAnsi="Arial" w:cs="Arial"/>
          <w:sz w:val="22"/>
          <w:szCs w:val="22"/>
        </w:rPr>
        <w:t xml:space="preserve">nicht </w:t>
      </w:r>
      <w:proofErr w:type="spellStart"/>
      <w:r w:rsidR="00A41A36" w:rsidRPr="002A5C90">
        <w:rPr>
          <w:rFonts w:ascii="Arial" w:hAnsi="Arial" w:cs="Arial"/>
          <w:sz w:val="22"/>
          <w:szCs w:val="22"/>
        </w:rPr>
        <w:t>alertiert</w:t>
      </w:r>
      <w:proofErr w:type="spellEnd"/>
      <w:r w:rsidR="00A41A36" w:rsidRPr="002A5C90">
        <w:rPr>
          <w:rFonts w:ascii="Arial" w:hAnsi="Arial" w:cs="Arial"/>
          <w:sz w:val="22"/>
          <w:szCs w:val="22"/>
        </w:rPr>
        <w:t xml:space="preserve"> werden.</w:t>
      </w:r>
    </w:p>
    <w:p w:rsidR="00304263" w:rsidRPr="002A5C90" w:rsidRDefault="007624D4" w:rsidP="00304263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04263" w:rsidRPr="002A5C90">
        <w:rPr>
          <w:rFonts w:ascii="Arial" w:hAnsi="Arial" w:cs="Arial"/>
          <w:sz w:val="22"/>
          <w:szCs w:val="22"/>
        </w:rPr>
        <w:t>.</w:t>
      </w:r>
      <w:r w:rsidR="00304263" w:rsidRPr="002A5C90">
        <w:rPr>
          <w:rFonts w:ascii="Arial" w:hAnsi="Arial" w:cs="Arial"/>
          <w:sz w:val="22"/>
          <w:szCs w:val="22"/>
        </w:rPr>
        <w:tab/>
        <w:t xml:space="preserve">Transferreizungen und Puppet </w:t>
      </w:r>
      <w:proofErr w:type="spellStart"/>
      <w:r w:rsidR="00304263" w:rsidRPr="002A5C90">
        <w:rPr>
          <w:rFonts w:ascii="Arial" w:hAnsi="Arial" w:cs="Arial"/>
          <w:sz w:val="22"/>
          <w:szCs w:val="22"/>
        </w:rPr>
        <w:t>Stayman</w:t>
      </w:r>
      <w:proofErr w:type="spellEnd"/>
      <w:r w:rsidR="00304263" w:rsidRPr="002A5C90">
        <w:rPr>
          <w:rFonts w:ascii="Arial" w:hAnsi="Arial" w:cs="Arial"/>
          <w:sz w:val="22"/>
          <w:szCs w:val="22"/>
        </w:rPr>
        <w:t xml:space="preserve"> </w:t>
      </w:r>
      <w:r w:rsidR="00796AF7">
        <w:rPr>
          <w:rFonts w:ascii="Arial" w:hAnsi="Arial" w:cs="Arial"/>
          <w:sz w:val="22"/>
          <w:szCs w:val="22"/>
        </w:rPr>
        <w:t xml:space="preserve">oder Baron </w:t>
      </w:r>
      <w:r w:rsidR="00304263" w:rsidRPr="002A5C90">
        <w:rPr>
          <w:rFonts w:ascii="Arial" w:hAnsi="Arial" w:cs="Arial"/>
          <w:sz w:val="22"/>
          <w:szCs w:val="22"/>
        </w:rPr>
        <w:t xml:space="preserve">nach Eröffnung 2 SA müssen </w:t>
      </w:r>
      <w:proofErr w:type="spellStart"/>
      <w:r w:rsidR="00304263" w:rsidRPr="002A5C90">
        <w:rPr>
          <w:rFonts w:ascii="Arial" w:hAnsi="Arial" w:cs="Arial"/>
          <w:sz w:val="22"/>
          <w:szCs w:val="22"/>
        </w:rPr>
        <w:t>alertiert</w:t>
      </w:r>
      <w:proofErr w:type="spellEnd"/>
      <w:r w:rsidR="00304263" w:rsidRPr="002A5C90">
        <w:rPr>
          <w:rFonts w:ascii="Arial" w:hAnsi="Arial" w:cs="Arial"/>
          <w:sz w:val="22"/>
          <w:szCs w:val="22"/>
        </w:rPr>
        <w:t xml:space="preserve"> werden</w:t>
      </w:r>
      <w:r w:rsidR="0099009F">
        <w:rPr>
          <w:rFonts w:ascii="Arial" w:hAnsi="Arial" w:cs="Arial"/>
          <w:sz w:val="22"/>
          <w:szCs w:val="22"/>
        </w:rPr>
        <w:t>,</w:t>
      </w:r>
      <w:r w:rsidR="00796A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AF7">
        <w:rPr>
          <w:rFonts w:ascii="Arial" w:hAnsi="Arial" w:cs="Arial"/>
          <w:sz w:val="22"/>
          <w:szCs w:val="22"/>
        </w:rPr>
        <w:t>Stayman</w:t>
      </w:r>
      <w:proofErr w:type="spellEnd"/>
      <w:r w:rsidR="00796AF7">
        <w:rPr>
          <w:rFonts w:ascii="Arial" w:hAnsi="Arial" w:cs="Arial"/>
          <w:sz w:val="22"/>
          <w:szCs w:val="22"/>
        </w:rPr>
        <w:t xml:space="preserve"> und die darauf folgenden Antworten des </w:t>
      </w:r>
      <w:proofErr w:type="spellStart"/>
      <w:r w:rsidR="00796AF7">
        <w:rPr>
          <w:rFonts w:ascii="Arial" w:hAnsi="Arial" w:cs="Arial"/>
          <w:sz w:val="22"/>
          <w:szCs w:val="22"/>
        </w:rPr>
        <w:t>Eröffners</w:t>
      </w:r>
      <w:proofErr w:type="spellEnd"/>
      <w:r w:rsidR="00796AF7">
        <w:rPr>
          <w:rFonts w:ascii="Arial" w:hAnsi="Arial" w:cs="Arial"/>
          <w:sz w:val="22"/>
          <w:szCs w:val="22"/>
        </w:rPr>
        <w:t xml:space="preserve"> müssen nicht </w:t>
      </w:r>
      <w:proofErr w:type="spellStart"/>
      <w:r w:rsidR="00796AF7">
        <w:rPr>
          <w:rFonts w:ascii="Arial" w:hAnsi="Arial" w:cs="Arial"/>
          <w:sz w:val="22"/>
          <w:szCs w:val="22"/>
        </w:rPr>
        <w:t>alertiert</w:t>
      </w:r>
      <w:proofErr w:type="spellEnd"/>
      <w:r w:rsidR="00796AF7">
        <w:rPr>
          <w:rFonts w:ascii="Arial" w:hAnsi="Arial" w:cs="Arial"/>
          <w:sz w:val="22"/>
          <w:szCs w:val="22"/>
        </w:rPr>
        <w:t xml:space="preserve"> werden.</w:t>
      </w:r>
    </w:p>
    <w:p w:rsidR="00304263" w:rsidRPr="002A5C90" w:rsidRDefault="007624D4" w:rsidP="00304263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04263" w:rsidRPr="002A5C90">
        <w:rPr>
          <w:rFonts w:ascii="Arial" w:hAnsi="Arial" w:cs="Arial"/>
          <w:sz w:val="22"/>
          <w:szCs w:val="22"/>
        </w:rPr>
        <w:t>.</w:t>
      </w:r>
      <w:r w:rsidR="00304263" w:rsidRPr="002A5C90">
        <w:rPr>
          <w:rFonts w:ascii="Arial" w:hAnsi="Arial" w:cs="Arial"/>
          <w:sz w:val="22"/>
          <w:szCs w:val="22"/>
        </w:rPr>
        <w:tab/>
      </w:r>
      <w:r w:rsidR="003472A8" w:rsidRPr="002A5C90">
        <w:rPr>
          <w:rFonts w:ascii="Arial" w:hAnsi="Arial" w:cs="Arial"/>
          <w:sz w:val="22"/>
          <w:szCs w:val="22"/>
        </w:rPr>
        <w:t xml:space="preserve"> Die Reizung 1SA als Gegenreizung wird nicht 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beauskunftet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>. Die Weiterreizung (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Stayman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 xml:space="preserve">, Transfer) wird nicht 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beauskunftet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 xml:space="preserve">, muss aber </w:t>
      </w:r>
      <w:proofErr w:type="spellStart"/>
      <w:r w:rsidR="003472A8" w:rsidRPr="002A5C90">
        <w:rPr>
          <w:rFonts w:ascii="Arial" w:hAnsi="Arial" w:cs="Arial"/>
          <w:sz w:val="22"/>
          <w:szCs w:val="22"/>
        </w:rPr>
        <w:t>alertiert</w:t>
      </w:r>
      <w:proofErr w:type="spellEnd"/>
      <w:r w:rsidR="003472A8" w:rsidRPr="002A5C90">
        <w:rPr>
          <w:rFonts w:ascii="Arial" w:hAnsi="Arial" w:cs="Arial"/>
          <w:sz w:val="22"/>
          <w:szCs w:val="22"/>
        </w:rPr>
        <w:t xml:space="preserve"> werden.</w:t>
      </w:r>
    </w:p>
    <w:p w:rsidR="00A41A36" w:rsidRPr="007624D4" w:rsidRDefault="007624D4" w:rsidP="00304263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41A36" w:rsidRPr="002A5C90">
        <w:rPr>
          <w:rFonts w:ascii="Arial" w:hAnsi="Arial" w:cs="Arial"/>
          <w:sz w:val="22"/>
          <w:szCs w:val="22"/>
        </w:rPr>
        <w:t>.</w:t>
      </w:r>
      <w:r w:rsidR="00A41A36" w:rsidRPr="002A5C90">
        <w:rPr>
          <w:rFonts w:ascii="Arial" w:hAnsi="Arial" w:cs="Arial"/>
          <w:sz w:val="22"/>
          <w:szCs w:val="22"/>
        </w:rPr>
        <w:tab/>
        <w:t xml:space="preserve"> Ein einfacher schwacher Sprung mit echter Farbe muss </w:t>
      </w:r>
      <w:proofErr w:type="spellStart"/>
      <w:r w:rsidR="00A41A36" w:rsidRPr="002A5C90">
        <w:rPr>
          <w:rFonts w:ascii="Arial" w:hAnsi="Arial" w:cs="Arial"/>
          <w:sz w:val="22"/>
          <w:szCs w:val="22"/>
        </w:rPr>
        <w:t>alertiert</w:t>
      </w:r>
      <w:proofErr w:type="spellEnd"/>
      <w:r w:rsidR="00A41A36" w:rsidRPr="002A5C90">
        <w:rPr>
          <w:rFonts w:ascii="Arial" w:hAnsi="Arial" w:cs="Arial"/>
          <w:sz w:val="22"/>
          <w:szCs w:val="22"/>
        </w:rPr>
        <w:t xml:space="preserve"> werden, ein einfacher starker </w:t>
      </w:r>
      <w:r w:rsidR="00A41A36" w:rsidRPr="007624D4">
        <w:rPr>
          <w:rFonts w:ascii="Arial" w:hAnsi="Arial" w:cs="Arial"/>
          <w:sz w:val="22"/>
          <w:szCs w:val="22"/>
        </w:rPr>
        <w:t xml:space="preserve">Sprung nicht. Schwache Doppelsprünge werden nicht </w:t>
      </w:r>
      <w:proofErr w:type="spellStart"/>
      <w:r w:rsidR="00A41A36" w:rsidRPr="007624D4">
        <w:rPr>
          <w:rFonts w:ascii="Arial" w:hAnsi="Arial" w:cs="Arial"/>
          <w:sz w:val="22"/>
          <w:szCs w:val="22"/>
        </w:rPr>
        <w:t>alertiert</w:t>
      </w:r>
      <w:proofErr w:type="spellEnd"/>
      <w:r w:rsidR="00A41A36" w:rsidRPr="007624D4">
        <w:rPr>
          <w:rFonts w:ascii="Arial" w:hAnsi="Arial" w:cs="Arial"/>
          <w:sz w:val="22"/>
          <w:szCs w:val="22"/>
        </w:rPr>
        <w:t>.</w:t>
      </w:r>
    </w:p>
    <w:p w:rsidR="007624D4" w:rsidRPr="007624D4" w:rsidRDefault="007624D4" w:rsidP="00304263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 w:rsidRPr="007624D4">
        <w:rPr>
          <w:rFonts w:ascii="Arial" w:hAnsi="Arial" w:cs="Arial"/>
          <w:sz w:val="22"/>
          <w:szCs w:val="22"/>
        </w:rPr>
        <w:t>e</w:t>
      </w:r>
      <w:r w:rsidR="002A5C90" w:rsidRPr="007624D4">
        <w:rPr>
          <w:rFonts w:ascii="Arial" w:hAnsi="Arial" w:cs="Arial"/>
          <w:sz w:val="22"/>
          <w:szCs w:val="22"/>
        </w:rPr>
        <w:t>.</w:t>
      </w:r>
      <w:r w:rsidR="002A5C90" w:rsidRPr="007624D4">
        <w:rPr>
          <w:rFonts w:ascii="Arial" w:hAnsi="Arial" w:cs="Arial"/>
          <w:sz w:val="22"/>
          <w:szCs w:val="22"/>
        </w:rPr>
        <w:tab/>
      </w:r>
      <w:r w:rsidRPr="007624D4">
        <w:rPr>
          <w:rFonts w:ascii="Arial" w:hAnsi="Arial" w:cs="Arial"/>
          <w:sz w:val="22"/>
          <w:szCs w:val="22"/>
        </w:rPr>
        <w:t xml:space="preserve">Eine nicht-forcierende Reizung einer neuen Farbe über der Einser-Stufe ist zu </w:t>
      </w:r>
      <w:proofErr w:type="spellStart"/>
      <w:r w:rsidRPr="007624D4">
        <w:rPr>
          <w:rFonts w:ascii="Arial" w:hAnsi="Arial" w:cs="Arial"/>
          <w:sz w:val="22"/>
          <w:szCs w:val="22"/>
        </w:rPr>
        <w:t>alertieren</w:t>
      </w:r>
      <w:proofErr w:type="spellEnd"/>
      <w:r w:rsidRPr="007624D4">
        <w:rPr>
          <w:rFonts w:ascii="Arial" w:hAnsi="Arial" w:cs="Arial"/>
          <w:sz w:val="22"/>
          <w:szCs w:val="22"/>
        </w:rPr>
        <w:t>.</w:t>
      </w:r>
    </w:p>
    <w:p w:rsidR="00796AF7" w:rsidRPr="002A5C90" w:rsidRDefault="00796AF7" w:rsidP="00796AF7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 w:rsidRPr="007624D4">
        <w:rPr>
          <w:rFonts w:ascii="Arial" w:hAnsi="Arial" w:cs="Arial"/>
          <w:sz w:val="22"/>
          <w:szCs w:val="22"/>
        </w:rPr>
        <w:t>f.</w:t>
      </w:r>
      <w:r w:rsidRPr="007624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Schwächere Gegenreizungen in vierter Hand werden nicht </w:t>
      </w:r>
      <w:proofErr w:type="spellStart"/>
      <w:r>
        <w:rPr>
          <w:rFonts w:ascii="Arial" w:hAnsi="Arial" w:cs="Arial"/>
          <w:sz w:val="22"/>
          <w:szCs w:val="22"/>
        </w:rPr>
        <w:t>alertiert</w:t>
      </w:r>
      <w:proofErr w:type="spellEnd"/>
      <w:r>
        <w:rPr>
          <w:rFonts w:ascii="Arial" w:hAnsi="Arial" w:cs="Arial"/>
          <w:sz w:val="22"/>
          <w:szCs w:val="22"/>
        </w:rPr>
        <w:t>, aber 1 SA ohne Stopper ja.</w:t>
      </w:r>
    </w:p>
    <w:p w:rsidR="002A5C90" w:rsidRPr="002A5C90" w:rsidRDefault="00D440CC" w:rsidP="00304263">
      <w:pPr>
        <w:pStyle w:val="Listenabsatz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="007624D4" w:rsidRPr="007624D4">
        <w:rPr>
          <w:rFonts w:ascii="Arial" w:hAnsi="Arial" w:cs="Arial"/>
          <w:sz w:val="22"/>
          <w:szCs w:val="22"/>
        </w:rPr>
        <w:t>.</w:t>
      </w:r>
      <w:r w:rsidR="007624D4" w:rsidRPr="007624D4">
        <w:rPr>
          <w:rFonts w:ascii="Arial" w:hAnsi="Arial" w:cs="Arial"/>
          <w:sz w:val="22"/>
          <w:szCs w:val="22"/>
        </w:rPr>
        <w:tab/>
      </w:r>
      <w:r w:rsidR="002A5C90" w:rsidRPr="007624D4">
        <w:rPr>
          <w:rFonts w:ascii="Arial" w:hAnsi="Arial" w:cs="Arial"/>
          <w:sz w:val="22"/>
          <w:szCs w:val="22"/>
        </w:rPr>
        <w:t>Informationskontras</w:t>
      </w:r>
      <w:r w:rsidR="002A5C90">
        <w:rPr>
          <w:rFonts w:ascii="Arial" w:hAnsi="Arial" w:cs="Arial"/>
          <w:sz w:val="22"/>
          <w:szCs w:val="22"/>
        </w:rPr>
        <w:t xml:space="preserve"> werden nicht </w:t>
      </w:r>
      <w:proofErr w:type="spellStart"/>
      <w:r w:rsidR="002A5C90">
        <w:rPr>
          <w:rFonts w:ascii="Arial" w:hAnsi="Arial" w:cs="Arial"/>
          <w:sz w:val="22"/>
          <w:szCs w:val="22"/>
        </w:rPr>
        <w:t>alertiert</w:t>
      </w:r>
      <w:proofErr w:type="spellEnd"/>
      <w:r w:rsidR="002A5C90">
        <w:rPr>
          <w:rFonts w:ascii="Arial" w:hAnsi="Arial" w:cs="Arial"/>
          <w:sz w:val="22"/>
          <w:szCs w:val="22"/>
        </w:rPr>
        <w:t xml:space="preserve">, Unterstützungskontras werden </w:t>
      </w:r>
      <w:proofErr w:type="spellStart"/>
      <w:r w:rsidR="002A5C90">
        <w:rPr>
          <w:rFonts w:ascii="Arial" w:hAnsi="Arial" w:cs="Arial"/>
          <w:sz w:val="22"/>
          <w:szCs w:val="22"/>
        </w:rPr>
        <w:t>alertiert</w:t>
      </w:r>
      <w:proofErr w:type="spellEnd"/>
      <w:r w:rsidR="002A5C90">
        <w:rPr>
          <w:rFonts w:ascii="Arial" w:hAnsi="Arial" w:cs="Arial"/>
          <w:sz w:val="22"/>
          <w:szCs w:val="22"/>
        </w:rPr>
        <w:t>.</w:t>
      </w:r>
    </w:p>
    <w:p w:rsidR="00304263" w:rsidRPr="002A5C90" w:rsidRDefault="00156FCF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Neu: Fragen zum </w:t>
      </w:r>
      <w:proofErr w:type="spellStart"/>
      <w:r w:rsidRPr="002A5C90">
        <w:rPr>
          <w:rFonts w:ascii="Arial" w:hAnsi="Arial" w:cs="Arial"/>
          <w:sz w:val="22"/>
          <w:szCs w:val="22"/>
        </w:rPr>
        <w:t>Revoke</w:t>
      </w:r>
      <w:proofErr w:type="spellEnd"/>
      <w:r w:rsidRPr="002A5C90">
        <w:rPr>
          <w:rFonts w:ascii="Arial" w:hAnsi="Arial" w:cs="Arial"/>
          <w:sz w:val="22"/>
          <w:szCs w:val="22"/>
        </w:rPr>
        <w:t xml:space="preserve">: Die Gegenspieler </w:t>
      </w:r>
      <w:r w:rsidRPr="002A5C90">
        <w:rPr>
          <w:rFonts w:ascii="Arial" w:hAnsi="Arial" w:cs="Arial"/>
          <w:sz w:val="22"/>
          <w:szCs w:val="22"/>
          <w:u w:val="single"/>
        </w:rPr>
        <w:t>dürfen einander fragen</w:t>
      </w:r>
      <w:r w:rsidRPr="002A5C90">
        <w:rPr>
          <w:rFonts w:ascii="Arial" w:hAnsi="Arial" w:cs="Arial"/>
          <w:sz w:val="22"/>
          <w:szCs w:val="22"/>
        </w:rPr>
        <w:t>, ob sie die Farbe noch haben (§61 TBR)</w:t>
      </w:r>
    </w:p>
    <w:p w:rsidR="00304263" w:rsidRPr="002A5C90" w:rsidRDefault="00156FCF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Claim und Konzession: Nach einem Claim wird das Spiel </w:t>
      </w:r>
      <w:r w:rsidRPr="002A5C90">
        <w:rPr>
          <w:rFonts w:ascii="Arial" w:hAnsi="Arial" w:cs="Arial"/>
          <w:sz w:val="22"/>
          <w:szCs w:val="22"/>
          <w:u w:val="single"/>
        </w:rPr>
        <w:t>unterbrochen</w:t>
      </w:r>
      <w:r w:rsidRPr="002A5C90">
        <w:rPr>
          <w:rFonts w:ascii="Arial" w:hAnsi="Arial" w:cs="Arial"/>
          <w:sz w:val="22"/>
          <w:szCs w:val="22"/>
        </w:rPr>
        <w:t>. Bei Zweifeln kann</w:t>
      </w:r>
      <w:r w:rsidRPr="002A5C90">
        <w:rPr>
          <w:rFonts w:ascii="Arial" w:hAnsi="Arial" w:cs="Arial"/>
          <w:sz w:val="22"/>
          <w:szCs w:val="22"/>
        </w:rPr>
        <w:br/>
        <w:t xml:space="preserve">- der Turnierleiter </w:t>
      </w:r>
      <w:r w:rsidR="00A423E1" w:rsidRPr="002A5C90">
        <w:rPr>
          <w:rFonts w:ascii="Arial" w:hAnsi="Arial" w:cs="Arial"/>
          <w:sz w:val="22"/>
          <w:szCs w:val="22"/>
        </w:rPr>
        <w:t xml:space="preserve">(TL) </w:t>
      </w:r>
      <w:r w:rsidR="003055F3" w:rsidRPr="002A5C90">
        <w:rPr>
          <w:rFonts w:ascii="Arial" w:hAnsi="Arial" w:cs="Arial"/>
          <w:sz w:val="22"/>
          <w:szCs w:val="22"/>
        </w:rPr>
        <w:t>gerufen werden</w:t>
      </w:r>
      <w:r w:rsidRPr="002A5C90">
        <w:rPr>
          <w:rFonts w:ascii="Arial" w:hAnsi="Arial" w:cs="Arial"/>
          <w:sz w:val="22"/>
          <w:szCs w:val="22"/>
        </w:rPr>
        <w:br/>
        <w:t>- oder auf Verlangen der anderen Partei weitergespielt werden, wobei alle 4 Spieler zustimmen müssen und dann das erzielte Ergebnis zählt. (§68 TBR</w:t>
      </w:r>
      <w:r w:rsidR="00CC50CA">
        <w:rPr>
          <w:rFonts w:ascii="Arial" w:hAnsi="Arial" w:cs="Arial"/>
          <w:sz w:val="22"/>
          <w:szCs w:val="22"/>
        </w:rPr>
        <w:t xml:space="preserve"> D.</w:t>
      </w:r>
      <w:r w:rsidRPr="002A5C90">
        <w:rPr>
          <w:rFonts w:ascii="Arial" w:hAnsi="Arial" w:cs="Arial"/>
          <w:sz w:val="22"/>
          <w:szCs w:val="22"/>
        </w:rPr>
        <w:t>)</w:t>
      </w:r>
    </w:p>
    <w:p w:rsidR="00156FCF" w:rsidRPr="002A5C90" w:rsidRDefault="00156FCF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Falsche Auskunft: </w:t>
      </w:r>
      <w:r w:rsidR="00A423E1" w:rsidRPr="002A5C90">
        <w:rPr>
          <w:rFonts w:ascii="Arial" w:hAnsi="Arial" w:cs="Arial"/>
          <w:sz w:val="22"/>
          <w:szCs w:val="22"/>
        </w:rPr>
        <w:t xml:space="preserve">Bemerkt jemand </w:t>
      </w:r>
      <w:r w:rsidR="00A423E1" w:rsidRPr="002A5C90">
        <w:rPr>
          <w:rFonts w:ascii="Arial" w:hAnsi="Arial" w:cs="Arial"/>
          <w:sz w:val="22"/>
          <w:szCs w:val="22"/>
          <w:u w:val="single"/>
        </w:rPr>
        <w:t>eine eigene falsche Auskunft</w:t>
      </w:r>
      <w:r w:rsidR="00A423E1" w:rsidRPr="002A5C90">
        <w:rPr>
          <w:rFonts w:ascii="Arial" w:hAnsi="Arial" w:cs="Arial"/>
          <w:sz w:val="22"/>
          <w:szCs w:val="22"/>
        </w:rPr>
        <w:t xml:space="preserve">, muss er vor dem </w:t>
      </w:r>
      <w:proofErr w:type="spellStart"/>
      <w:r w:rsidR="00A423E1" w:rsidRPr="002A5C90">
        <w:rPr>
          <w:rFonts w:ascii="Arial" w:hAnsi="Arial" w:cs="Arial"/>
          <w:sz w:val="22"/>
          <w:szCs w:val="22"/>
        </w:rPr>
        <w:t>Ausspiel</w:t>
      </w:r>
      <w:proofErr w:type="spellEnd"/>
      <w:r w:rsidR="00A423E1" w:rsidRPr="002A5C90">
        <w:rPr>
          <w:rFonts w:ascii="Arial" w:hAnsi="Arial" w:cs="Arial"/>
          <w:sz w:val="22"/>
          <w:szCs w:val="22"/>
        </w:rPr>
        <w:t xml:space="preserve"> den TL rufen. Bei </w:t>
      </w:r>
      <w:r w:rsidR="00A423E1" w:rsidRPr="002A5C90">
        <w:rPr>
          <w:rFonts w:ascii="Arial" w:hAnsi="Arial" w:cs="Arial"/>
          <w:sz w:val="22"/>
          <w:szCs w:val="22"/>
          <w:u w:val="single"/>
        </w:rPr>
        <w:t>falscher Auskunft des Partners</w:t>
      </w:r>
      <w:r w:rsidR="00A423E1" w:rsidRPr="002A5C90">
        <w:rPr>
          <w:rFonts w:ascii="Arial" w:hAnsi="Arial" w:cs="Arial"/>
          <w:sz w:val="22"/>
          <w:szCs w:val="22"/>
        </w:rPr>
        <w:t xml:space="preserve"> muss </w:t>
      </w:r>
      <w:r w:rsidR="0050292D" w:rsidRPr="002A5C90">
        <w:rPr>
          <w:rFonts w:ascii="Arial" w:hAnsi="Arial" w:cs="Arial"/>
          <w:sz w:val="22"/>
          <w:szCs w:val="22"/>
        </w:rPr>
        <w:t xml:space="preserve">der </w:t>
      </w:r>
      <w:r w:rsidR="00A423E1" w:rsidRPr="002A5C90">
        <w:rPr>
          <w:rFonts w:ascii="Arial" w:hAnsi="Arial" w:cs="Arial"/>
          <w:sz w:val="22"/>
          <w:szCs w:val="22"/>
          <w:u w:val="single"/>
        </w:rPr>
        <w:t>Alleinspieler oder Dummy</w:t>
      </w:r>
      <w:r w:rsidR="00A423E1" w:rsidRPr="002A5C90">
        <w:rPr>
          <w:rFonts w:ascii="Arial" w:hAnsi="Arial" w:cs="Arial"/>
          <w:sz w:val="22"/>
          <w:szCs w:val="22"/>
        </w:rPr>
        <w:t xml:space="preserve"> nach letztem Pass den TL rufen. Bei </w:t>
      </w:r>
      <w:r w:rsidR="00A423E1" w:rsidRPr="002A5C90">
        <w:rPr>
          <w:rFonts w:ascii="Arial" w:hAnsi="Arial" w:cs="Arial"/>
          <w:sz w:val="22"/>
          <w:szCs w:val="22"/>
          <w:u w:val="single"/>
        </w:rPr>
        <w:t>falscher Auskunft des Partners</w:t>
      </w:r>
      <w:r w:rsidR="00A423E1" w:rsidRPr="002A5C90">
        <w:rPr>
          <w:rFonts w:ascii="Arial" w:hAnsi="Arial" w:cs="Arial"/>
          <w:sz w:val="22"/>
          <w:szCs w:val="22"/>
        </w:rPr>
        <w:t xml:space="preserve"> muss ein </w:t>
      </w:r>
      <w:r w:rsidR="00A423E1" w:rsidRPr="002A5C90">
        <w:rPr>
          <w:rFonts w:ascii="Arial" w:hAnsi="Arial" w:cs="Arial"/>
          <w:sz w:val="22"/>
          <w:szCs w:val="22"/>
          <w:u w:val="single"/>
        </w:rPr>
        <w:t>Gegenspieler</w:t>
      </w:r>
      <w:r w:rsidR="00A423E1" w:rsidRPr="002A5C90">
        <w:rPr>
          <w:rFonts w:ascii="Arial" w:hAnsi="Arial" w:cs="Arial"/>
          <w:sz w:val="22"/>
          <w:szCs w:val="22"/>
        </w:rPr>
        <w:t xml:space="preserve"> den TL nach Spielende rufen und dann die Auskunft berichtigen. Hat ein Paar keine Vereinbarung, ist genau das als Auskunft zu geben. (§75 TBR)</w:t>
      </w:r>
    </w:p>
    <w:p w:rsidR="00A423E1" w:rsidRPr="002A5C90" w:rsidRDefault="00A423E1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Änderung von Ansagen: Eine </w:t>
      </w:r>
      <w:r w:rsidRPr="002A5C90">
        <w:rPr>
          <w:rFonts w:ascii="Arial" w:hAnsi="Arial" w:cs="Arial"/>
          <w:sz w:val="22"/>
          <w:szCs w:val="22"/>
          <w:u w:val="single"/>
        </w:rPr>
        <w:t>unbeabsichtigte</w:t>
      </w:r>
      <w:r w:rsidRPr="002A5C90">
        <w:rPr>
          <w:rFonts w:ascii="Arial" w:hAnsi="Arial" w:cs="Arial"/>
          <w:sz w:val="22"/>
          <w:szCs w:val="22"/>
        </w:rPr>
        <w:t xml:space="preserve"> Ansage kann geändert werden, bis der Partner angesagt hat, aber nur, wenn die </w:t>
      </w:r>
      <w:r w:rsidRPr="002A5C90">
        <w:rPr>
          <w:rFonts w:ascii="Arial" w:hAnsi="Arial" w:cs="Arial"/>
          <w:sz w:val="22"/>
          <w:szCs w:val="22"/>
          <w:u w:val="single"/>
        </w:rPr>
        <w:t xml:space="preserve">falsche </w:t>
      </w:r>
      <w:proofErr w:type="spellStart"/>
      <w:r w:rsidRPr="002A5C90">
        <w:rPr>
          <w:rFonts w:ascii="Arial" w:hAnsi="Arial" w:cs="Arial"/>
          <w:sz w:val="22"/>
          <w:szCs w:val="22"/>
          <w:u w:val="single"/>
        </w:rPr>
        <w:t>Bietkarte</w:t>
      </w:r>
      <w:proofErr w:type="spellEnd"/>
      <w:r w:rsidRPr="002A5C90">
        <w:rPr>
          <w:rFonts w:ascii="Arial" w:hAnsi="Arial" w:cs="Arial"/>
          <w:sz w:val="22"/>
          <w:szCs w:val="22"/>
          <w:u w:val="single"/>
        </w:rPr>
        <w:t xml:space="preserve"> gezogen</w:t>
      </w:r>
      <w:r w:rsidRPr="002A5C90">
        <w:rPr>
          <w:rFonts w:ascii="Arial" w:hAnsi="Arial" w:cs="Arial"/>
          <w:sz w:val="22"/>
          <w:szCs w:val="22"/>
        </w:rPr>
        <w:t xml:space="preserve"> wurde.</w:t>
      </w:r>
      <w:r w:rsidR="0050292D" w:rsidRPr="002A5C90">
        <w:rPr>
          <w:rFonts w:ascii="Arial" w:hAnsi="Arial" w:cs="Arial"/>
          <w:sz w:val="22"/>
          <w:szCs w:val="22"/>
        </w:rPr>
        <w:t xml:space="preserve"> Der Zusatz „ohne Gedankenpause“ ist entfallen. (§25 TBR)</w:t>
      </w:r>
    </w:p>
    <w:p w:rsidR="0050292D" w:rsidRPr="002A5C90" w:rsidRDefault="0050292D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Gespielte Karte: Eine </w:t>
      </w:r>
      <w:r w:rsidRPr="002A5C90">
        <w:rPr>
          <w:rFonts w:ascii="Arial" w:hAnsi="Arial" w:cs="Arial"/>
          <w:sz w:val="22"/>
          <w:szCs w:val="22"/>
          <w:u w:val="single"/>
        </w:rPr>
        <w:t>unabsichtliche</w:t>
      </w:r>
      <w:r w:rsidRPr="002A5C90">
        <w:rPr>
          <w:rFonts w:ascii="Arial" w:hAnsi="Arial" w:cs="Arial"/>
          <w:sz w:val="22"/>
          <w:szCs w:val="22"/>
        </w:rPr>
        <w:t xml:space="preserve"> Bezeichnung einer Karte des Tisches kann vom Alleinspieler korrigiert werden, bis er seine nächste Karte spielt, aber nur bei einem </w:t>
      </w:r>
      <w:r w:rsidRPr="002A5C90">
        <w:rPr>
          <w:rFonts w:ascii="Arial" w:hAnsi="Arial" w:cs="Arial"/>
          <w:sz w:val="22"/>
          <w:szCs w:val="22"/>
          <w:u w:val="single"/>
        </w:rPr>
        <w:t>Versprecher</w:t>
      </w:r>
      <w:r w:rsidRPr="002A5C90">
        <w:rPr>
          <w:rFonts w:ascii="Arial" w:hAnsi="Arial" w:cs="Arial"/>
          <w:sz w:val="22"/>
          <w:szCs w:val="22"/>
        </w:rPr>
        <w:t>, nicht bei Meinungsänderung. (§45 TBR)</w:t>
      </w:r>
    </w:p>
    <w:p w:rsidR="0050292D" w:rsidRPr="002A5C90" w:rsidRDefault="0050292D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Neu: Vergleichbare Ansage: Wird eine Ansage außer Reihenfolge oder ein ungenügendes Gebot nicht angenommen, kann die Reizung ohne Berichtigung </w:t>
      </w:r>
      <w:r w:rsidRPr="002A5C90">
        <w:rPr>
          <w:rFonts w:ascii="Arial" w:hAnsi="Arial" w:cs="Arial"/>
          <w:sz w:val="22"/>
          <w:szCs w:val="22"/>
          <w:u w:val="single"/>
        </w:rPr>
        <w:t>normal fortgeführt</w:t>
      </w:r>
      <w:r w:rsidRPr="002A5C90">
        <w:rPr>
          <w:rFonts w:ascii="Arial" w:hAnsi="Arial" w:cs="Arial"/>
          <w:sz w:val="22"/>
          <w:szCs w:val="22"/>
        </w:rPr>
        <w:t xml:space="preserve"> werden, falls der Schuldige seine regelwidrige Ansage durch eine </w:t>
      </w:r>
      <w:r w:rsidRPr="002A5C90">
        <w:rPr>
          <w:rFonts w:ascii="Arial" w:hAnsi="Arial" w:cs="Arial"/>
          <w:sz w:val="22"/>
          <w:szCs w:val="22"/>
          <w:u w:val="single"/>
        </w:rPr>
        <w:t>vergleichbare Ansage</w:t>
      </w:r>
      <w:r w:rsidRPr="002A5C90">
        <w:rPr>
          <w:rFonts w:ascii="Arial" w:hAnsi="Arial" w:cs="Arial"/>
          <w:sz w:val="22"/>
          <w:szCs w:val="22"/>
        </w:rPr>
        <w:t xml:space="preserve"> ersetzt.</w:t>
      </w:r>
      <w:r w:rsidR="00063711" w:rsidRPr="002A5C90">
        <w:rPr>
          <w:rFonts w:ascii="Arial" w:hAnsi="Arial" w:cs="Arial"/>
          <w:sz w:val="22"/>
          <w:szCs w:val="22"/>
        </w:rPr>
        <w:br/>
        <w:t>Eine Ansage ist vergleichbar, falls sie</w:t>
      </w:r>
      <w:r w:rsidR="00063711" w:rsidRPr="002A5C90">
        <w:rPr>
          <w:rFonts w:ascii="Arial" w:hAnsi="Arial" w:cs="Arial"/>
          <w:sz w:val="22"/>
          <w:szCs w:val="22"/>
        </w:rPr>
        <w:br/>
        <w:t>- die gleiche(n) Farbe(n) und keine zu sehr abweichende Stärke zeigt</w:t>
      </w:r>
      <w:r w:rsidR="00063711" w:rsidRPr="002A5C90">
        <w:rPr>
          <w:rFonts w:ascii="Arial" w:hAnsi="Arial" w:cs="Arial"/>
          <w:sz w:val="22"/>
          <w:szCs w:val="22"/>
        </w:rPr>
        <w:br/>
        <w:t>- oder das Blatt genauer beschreibt</w:t>
      </w:r>
      <w:r w:rsidR="00063711" w:rsidRPr="002A5C90">
        <w:rPr>
          <w:rFonts w:ascii="Arial" w:hAnsi="Arial" w:cs="Arial"/>
          <w:sz w:val="22"/>
          <w:szCs w:val="22"/>
        </w:rPr>
        <w:br/>
        <w:t>- oder den gleichen Zweck erfüllt</w:t>
      </w:r>
    </w:p>
    <w:p w:rsidR="00B4028C" w:rsidRPr="002A5C90" w:rsidRDefault="00B4028C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Ausspielbeschränkungen: Wird eine Ansage durch eine </w:t>
      </w:r>
      <w:r w:rsidRPr="002A5C90">
        <w:rPr>
          <w:rFonts w:ascii="Arial" w:hAnsi="Arial" w:cs="Arial"/>
          <w:sz w:val="22"/>
          <w:szCs w:val="22"/>
          <w:u w:val="single"/>
        </w:rPr>
        <w:t>nicht vergleichbare</w:t>
      </w:r>
      <w:r w:rsidRPr="002A5C90">
        <w:rPr>
          <w:rFonts w:ascii="Arial" w:hAnsi="Arial" w:cs="Arial"/>
          <w:sz w:val="22"/>
          <w:szCs w:val="22"/>
        </w:rPr>
        <w:t xml:space="preserve"> </w:t>
      </w:r>
      <w:r w:rsidRPr="002A5C90">
        <w:rPr>
          <w:rFonts w:ascii="Arial" w:hAnsi="Arial" w:cs="Arial"/>
          <w:sz w:val="22"/>
          <w:szCs w:val="22"/>
          <w:u w:val="single"/>
        </w:rPr>
        <w:t>Ansage</w:t>
      </w:r>
      <w:r w:rsidRPr="002A5C90">
        <w:rPr>
          <w:rFonts w:ascii="Arial" w:hAnsi="Arial" w:cs="Arial"/>
          <w:sz w:val="22"/>
          <w:szCs w:val="22"/>
        </w:rPr>
        <w:t xml:space="preserve"> ersetzt, kann der Alleinspieler dem Partner des Schuldigen bei dessen erster Gelegenheit zum </w:t>
      </w:r>
      <w:proofErr w:type="spellStart"/>
      <w:r w:rsidRPr="002A5C90">
        <w:rPr>
          <w:rFonts w:ascii="Arial" w:hAnsi="Arial" w:cs="Arial"/>
          <w:sz w:val="22"/>
          <w:szCs w:val="22"/>
        </w:rPr>
        <w:t>Ausspiel</w:t>
      </w:r>
      <w:proofErr w:type="spellEnd"/>
      <w:r w:rsidRPr="002A5C90">
        <w:rPr>
          <w:rFonts w:ascii="Arial" w:hAnsi="Arial" w:cs="Arial"/>
          <w:sz w:val="22"/>
          <w:szCs w:val="22"/>
        </w:rPr>
        <w:t xml:space="preserve"> eine (jede) Farbe verbieten, die der Schuldige nicht regulär in der Reizung gezeigt hat. </w:t>
      </w:r>
      <w:r w:rsidRPr="002A5C90">
        <w:rPr>
          <w:rFonts w:ascii="Arial" w:hAnsi="Arial" w:cs="Arial"/>
          <w:color w:val="000000"/>
          <w:sz w:val="22"/>
          <w:szCs w:val="22"/>
        </w:rPr>
        <w:t xml:space="preserve">Ein solches Verbot gilt, solange der Partner des schuldigen Spielers das </w:t>
      </w:r>
      <w:proofErr w:type="spellStart"/>
      <w:r w:rsidRPr="002A5C90">
        <w:rPr>
          <w:rFonts w:ascii="Arial" w:hAnsi="Arial" w:cs="Arial"/>
          <w:color w:val="000000"/>
          <w:sz w:val="22"/>
          <w:szCs w:val="22"/>
        </w:rPr>
        <w:t>Ausspiel</w:t>
      </w:r>
      <w:proofErr w:type="spellEnd"/>
      <w:r w:rsidRPr="002A5C90">
        <w:rPr>
          <w:rFonts w:ascii="Arial" w:hAnsi="Arial" w:cs="Arial"/>
          <w:color w:val="000000"/>
          <w:sz w:val="22"/>
          <w:szCs w:val="22"/>
        </w:rPr>
        <w:t xml:space="preserve"> behält. </w:t>
      </w:r>
      <w:r w:rsidRPr="002A5C90">
        <w:rPr>
          <w:rFonts w:ascii="Arial" w:hAnsi="Arial" w:cs="Arial"/>
          <w:sz w:val="22"/>
          <w:szCs w:val="22"/>
        </w:rPr>
        <w:t>(§26 TBR)</w:t>
      </w:r>
    </w:p>
    <w:p w:rsidR="00063711" w:rsidRPr="000117BE" w:rsidRDefault="00063711" w:rsidP="000117BE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 xml:space="preserve">Kontrolle Boards / Karten: Das Board wird in die Tischmitte gelegt, wo es korrekt ausgerichtet bis zum Ende des Spiels zu bleiben </w:t>
      </w:r>
      <w:r w:rsidRPr="000117BE">
        <w:rPr>
          <w:rFonts w:ascii="Arial" w:hAnsi="Arial" w:cs="Arial"/>
          <w:sz w:val="22"/>
          <w:szCs w:val="22"/>
        </w:rPr>
        <w:t xml:space="preserve">hat. </w:t>
      </w:r>
      <w:r w:rsidR="000117BE" w:rsidRPr="000117BE">
        <w:rPr>
          <w:rFonts w:ascii="Arial" w:hAnsi="Arial" w:cs="Arial"/>
          <w:sz w:val="22"/>
          <w:szCs w:val="22"/>
        </w:rPr>
        <w:t>TBR §7 A.</w:t>
      </w:r>
      <w:r w:rsidR="000117BE" w:rsidRPr="000117BE">
        <w:rPr>
          <w:rFonts w:ascii="Arial" w:hAnsi="Arial" w:cs="Arial"/>
          <w:sz w:val="22"/>
          <w:szCs w:val="22"/>
        </w:rPr>
        <w:br/>
      </w:r>
      <w:r w:rsidRPr="000117BE">
        <w:rPr>
          <w:rFonts w:ascii="Arial" w:hAnsi="Arial" w:cs="Arial"/>
          <w:sz w:val="22"/>
          <w:szCs w:val="22"/>
        </w:rPr>
        <w:t>Man sollte auch nach dem Spiel keine Karten anderer Spieler berühren, der Gegner darf dies aber erlauben. (§7 TBR)</w:t>
      </w:r>
    </w:p>
    <w:p w:rsidR="00240536" w:rsidRPr="002A5C90" w:rsidRDefault="00240536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Stopp-Regel</w:t>
      </w:r>
      <w:r w:rsidR="00681BCE">
        <w:rPr>
          <w:rFonts w:ascii="Arial" w:hAnsi="Arial" w:cs="Arial"/>
          <w:sz w:val="22"/>
          <w:szCs w:val="22"/>
        </w:rPr>
        <w:t xml:space="preserve"> TO §17 (3)</w:t>
      </w:r>
    </w:p>
    <w:p w:rsidR="0066411F" w:rsidRDefault="0066411F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>Unerlaubte Information: Hat ein Spieler von seinem Partner eine unerlaubte Information erhalten (z.B. Betonung, Tonfall, Eile, Gestik, Zögern, usw</w:t>
      </w:r>
      <w:r w:rsidR="00AE62FC" w:rsidRPr="002A5C90">
        <w:rPr>
          <w:rFonts w:ascii="Arial" w:hAnsi="Arial" w:cs="Arial"/>
          <w:sz w:val="22"/>
          <w:szCs w:val="22"/>
        </w:rPr>
        <w:t>.</w:t>
      </w:r>
      <w:r w:rsidRPr="002A5C90">
        <w:rPr>
          <w:rFonts w:ascii="Arial" w:hAnsi="Arial" w:cs="Arial"/>
          <w:sz w:val="22"/>
          <w:szCs w:val="22"/>
        </w:rPr>
        <w:t>) mu</w:t>
      </w:r>
      <w:r w:rsidR="00AE62FC" w:rsidRPr="002A5C90">
        <w:rPr>
          <w:rFonts w:ascii="Arial" w:hAnsi="Arial" w:cs="Arial"/>
          <w:sz w:val="22"/>
          <w:szCs w:val="22"/>
        </w:rPr>
        <w:t>ss</w:t>
      </w:r>
      <w:r w:rsidRPr="002A5C90">
        <w:rPr>
          <w:rFonts w:ascii="Arial" w:hAnsi="Arial" w:cs="Arial"/>
          <w:sz w:val="22"/>
          <w:szCs w:val="22"/>
        </w:rPr>
        <w:t xml:space="preserve"> er sorgfältig vermeiden, </w:t>
      </w:r>
      <w:r w:rsidR="00994B08" w:rsidRPr="002A5C90">
        <w:rPr>
          <w:rFonts w:ascii="Arial" w:hAnsi="Arial" w:cs="Arial"/>
          <w:sz w:val="22"/>
          <w:szCs w:val="22"/>
        </w:rPr>
        <w:t xml:space="preserve">daraus </w:t>
      </w:r>
      <w:r w:rsidRPr="002A5C90">
        <w:rPr>
          <w:rFonts w:ascii="Arial" w:hAnsi="Arial" w:cs="Arial"/>
          <w:sz w:val="22"/>
          <w:szCs w:val="22"/>
        </w:rPr>
        <w:t>irgendeinen</w:t>
      </w:r>
      <w:r w:rsidR="00994B08" w:rsidRPr="002A5C90">
        <w:rPr>
          <w:rFonts w:ascii="Arial" w:hAnsi="Arial" w:cs="Arial"/>
          <w:sz w:val="22"/>
          <w:szCs w:val="22"/>
        </w:rPr>
        <w:t xml:space="preserve"> Vorteil </w:t>
      </w:r>
      <w:r w:rsidRPr="002A5C90">
        <w:rPr>
          <w:rFonts w:ascii="Arial" w:hAnsi="Arial" w:cs="Arial"/>
          <w:sz w:val="22"/>
          <w:szCs w:val="22"/>
        </w:rPr>
        <w:t>zu ziehen</w:t>
      </w:r>
      <w:r w:rsidR="000E38BF" w:rsidRPr="002A5C90">
        <w:rPr>
          <w:rFonts w:ascii="Arial" w:hAnsi="Arial" w:cs="Arial"/>
          <w:sz w:val="22"/>
          <w:szCs w:val="22"/>
        </w:rPr>
        <w:t xml:space="preserve"> (§16 TBR). Im Zweifelsfall den Turnierleiter </w:t>
      </w:r>
      <w:r w:rsidR="008B0604" w:rsidRPr="002A5C90">
        <w:rPr>
          <w:rFonts w:ascii="Arial" w:hAnsi="Arial" w:cs="Arial"/>
          <w:sz w:val="22"/>
          <w:szCs w:val="22"/>
        </w:rPr>
        <w:t>ru</w:t>
      </w:r>
      <w:r w:rsidR="000E38BF" w:rsidRPr="002A5C90">
        <w:rPr>
          <w:rFonts w:ascii="Arial" w:hAnsi="Arial" w:cs="Arial"/>
          <w:sz w:val="22"/>
          <w:szCs w:val="22"/>
        </w:rPr>
        <w:t>fen.</w:t>
      </w:r>
    </w:p>
    <w:p w:rsidR="00681BCE" w:rsidRDefault="00681BCE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Zögern</w:t>
      </w:r>
    </w:p>
    <w:p w:rsidR="00814A9B" w:rsidRPr="002A5C90" w:rsidRDefault="00814A9B" w:rsidP="00304263">
      <w:pPr>
        <w:pStyle w:val="Listenabsatz"/>
        <w:numPr>
          <w:ilvl w:val="0"/>
          <w:numId w:val="1"/>
        </w:numPr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Zeitspartipps</w:t>
      </w:r>
    </w:p>
    <w:p w:rsidR="0099001A" w:rsidRPr="002A5C90" w:rsidRDefault="00945457" w:rsidP="00304263">
      <w:pPr>
        <w:spacing w:after="240"/>
        <w:rPr>
          <w:rFonts w:ascii="Arial" w:hAnsi="Arial" w:cs="Arial"/>
          <w:sz w:val="22"/>
          <w:szCs w:val="22"/>
        </w:rPr>
      </w:pPr>
      <w:r w:rsidRPr="002A5C90">
        <w:rPr>
          <w:rFonts w:ascii="Arial" w:hAnsi="Arial" w:cs="Arial"/>
          <w:sz w:val="22"/>
          <w:szCs w:val="22"/>
        </w:rPr>
        <w:t>Franz Seibert</w:t>
      </w:r>
      <w:r w:rsidR="008B0604" w:rsidRPr="002A5C90">
        <w:rPr>
          <w:rFonts w:ascii="Arial" w:hAnsi="Arial" w:cs="Arial"/>
          <w:sz w:val="22"/>
          <w:szCs w:val="22"/>
        </w:rPr>
        <w:t xml:space="preserve"> / Gerhard Stampfer</w:t>
      </w:r>
      <w:r w:rsidR="00796AF7">
        <w:rPr>
          <w:rFonts w:ascii="Arial" w:hAnsi="Arial" w:cs="Arial"/>
          <w:sz w:val="22"/>
          <w:szCs w:val="22"/>
        </w:rPr>
        <w:t>, 13</w:t>
      </w:r>
      <w:r w:rsidR="0099001A" w:rsidRPr="002A5C90">
        <w:rPr>
          <w:rFonts w:ascii="Arial" w:hAnsi="Arial" w:cs="Arial"/>
          <w:sz w:val="22"/>
          <w:szCs w:val="22"/>
        </w:rPr>
        <w:t>.0</w:t>
      </w:r>
      <w:r w:rsidR="00AF2B23" w:rsidRPr="002A5C90">
        <w:rPr>
          <w:rFonts w:ascii="Arial" w:hAnsi="Arial" w:cs="Arial"/>
          <w:sz w:val="22"/>
          <w:szCs w:val="22"/>
        </w:rPr>
        <w:t>3</w:t>
      </w:r>
      <w:r w:rsidR="0099001A" w:rsidRPr="002A5C90">
        <w:rPr>
          <w:rFonts w:ascii="Arial" w:hAnsi="Arial" w:cs="Arial"/>
          <w:sz w:val="22"/>
          <w:szCs w:val="22"/>
        </w:rPr>
        <w:t>.2018</w:t>
      </w:r>
    </w:p>
    <w:sectPr w:rsidR="0099001A" w:rsidRPr="002A5C90" w:rsidSect="00796AF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4F" w:rsidRDefault="00A0594F" w:rsidP="0066411F">
      <w:r>
        <w:separator/>
      </w:r>
    </w:p>
  </w:endnote>
  <w:endnote w:type="continuationSeparator" w:id="0">
    <w:p w:rsidR="00A0594F" w:rsidRDefault="00A0594F" w:rsidP="0066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4F" w:rsidRDefault="00A0594F" w:rsidP="0066411F">
      <w:r>
        <w:separator/>
      </w:r>
    </w:p>
  </w:footnote>
  <w:footnote w:type="continuationSeparator" w:id="0">
    <w:p w:rsidR="00A0594F" w:rsidRDefault="00A0594F" w:rsidP="0066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A22"/>
    <w:multiLevelType w:val="hybridMultilevel"/>
    <w:tmpl w:val="8C1A5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3"/>
    <w:rsid w:val="000117BE"/>
    <w:rsid w:val="00063711"/>
    <w:rsid w:val="000E38BF"/>
    <w:rsid w:val="001064C3"/>
    <w:rsid w:val="00156FCF"/>
    <w:rsid w:val="002155D8"/>
    <w:rsid w:val="00240536"/>
    <w:rsid w:val="002A5C90"/>
    <w:rsid w:val="00304263"/>
    <w:rsid w:val="003055F3"/>
    <w:rsid w:val="003208E9"/>
    <w:rsid w:val="00330DED"/>
    <w:rsid w:val="003472A8"/>
    <w:rsid w:val="003D4D80"/>
    <w:rsid w:val="003D7BD1"/>
    <w:rsid w:val="00413950"/>
    <w:rsid w:val="00433AB7"/>
    <w:rsid w:val="0045419D"/>
    <w:rsid w:val="00483B83"/>
    <w:rsid w:val="004A746A"/>
    <w:rsid w:val="004C2472"/>
    <w:rsid w:val="004C6A99"/>
    <w:rsid w:val="0050292D"/>
    <w:rsid w:val="0060661C"/>
    <w:rsid w:val="0061328F"/>
    <w:rsid w:val="0066411F"/>
    <w:rsid w:val="00664C3E"/>
    <w:rsid w:val="00681BCE"/>
    <w:rsid w:val="007372E5"/>
    <w:rsid w:val="00737682"/>
    <w:rsid w:val="007624D4"/>
    <w:rsid w:val="007915AC"/>
    <w:rsid w:val="00796AF7"/>
    <w:rsid w:val="007F33DA"/>
    <w:rsid w:val="00814A9B"/>
    <w:rsid w:val="008B0604"/>
    <w:rsid w:val="009234D8"/>
    <w:rsid w:val="00945457"/>
    <w:rsid w:val="0099001A"/>
    <w:rsid w:val="0099009F"/>
    <w:rsid w:val="00994B08"/>
    <w:rsid w:val="00A0594F"/>
    <w:rsid w:val="00A150C0"/>
    <w:rsid w:val="00A41A36"/>
    <w:rsid w:val="00A423E1"/>
    <w:rsid w:val="00AE0BBD"/>
    <w:rsid w:val="00AE62FC"/>
    <w:rsid w:val="00AF2B23"/>
    <w:rsid w:val="00B4028C"/>
    <w:rsid w:val="00BB30CC"/>
    <w:rsid w:val="00BE4DC1"/>
    <w:rsid w:val="00C3658A"/>
    <w:rsid w:val="00C4103A"/>
    <w:rsid w:val="00C76A40"/>
    <w:rsid w:val="00CC50CA"/>
    <w:rsid w:val="00D440CC"/>
    <w:rsid w:val="00DA6C3C"/>
    <w:rsid w:val="00ED6C65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26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6411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66411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6411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6641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26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6411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66411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6411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664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4</cp:revision>
  <dcterms:created xsi:type="dcterms:W3CDTF">2018-03-13T12:32:00Z</dcterms:created>
  <dcterms:modified xsi:type="dcterms:W3CDTF">2018-04-09T14:40:00Z</dcterms:modified>
</cp:coreProperties>
</file>